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25" w:rsidRDefault="000D0925">
      <w:pPr>
        <w:rPr>
          <w:b/>
        </w:rPr>
      </w:pPr>
    </w:p>
    <w:p w:rsidR="000341A4" w:rsidRDefault="007D2904">
      <w:pPr>
        <w:rPr>
          <w:b/>
        </w:rPr>
      </w:pPr>
      <w:r>
        <w:rPr>
          <w:b/>
        </w:rPr>
        <w:t xml:space="preserve"> P</w:t>
      </w:r>
      <w:r w:rsidR="00E65A45" w:rsidRPr="00E65A45">
        <w:rPr>
          <w:b/>
        </w:rPr>
        <w:t>lastyka</w:t>
      </w:r>
      <w:r>
        <w:rPr>
          <w:b/>
        </w:rPr>
        <w:t>.Grafika użytkowa</w:t>
      </w:r>
      <w:r w:rsidR="00E65A45" w:rsidRPr="00E65A45">
        <w:rPr>
          <w:b/>
        </w:rPr>
        <w:t xml:space="preserve"> </w:t>
      </w:r>
      <w:r w:rsidR="00E65A45">
        <w:rPr>
          <w:b/>
        </w:rPr>
        <w:t>–</w:t>
      </w:r>
      <w:r w:rsidR="00E65A45" w:rsidRPr="00E65A45">
        <w:rPr>
          <w:b/>
        </w:rPr>
        <w:t xml:space="preserve"> </w:t>
      </w:r>
      <w:r w:rsidR="0052347A">
        <w:rPr>
          <w:b/>
        </w:rPr>
        <w:t xml:space="preserve">20.04.2020 </w:t>
      </w:r>
    </w:p>
    <w:p w:rsidR="00193DFC" w:rsidRDefault="00193DFC">
      <w:pPr>
        <w:rPr>
          <w:b/>
        </w:rPr>
      </w:pPr>
    </w:p>
    <w:p w:rsidR="00E65A45" w:rsidRPr="0052347A" w:rsidRDefault="00E65A45" w:rsidP="00E65A45">
      <w:pPr>
        <w:pStyle w:val="Nagwek1"/>
        <w:rPr>
          <w:sz w:val="22"/>
          <w:szCs w:val="22"/>
        </w:rPr>
      </w:pPr>
      <w:r w:rsidRPr="0052347A">
        <w:rPr>
          <w:sz w:val="22"/>
          <w:szCs w:val="22"/>
        </w:rPr>
        <w:t>Temat:</w:t>
      </w:r>
      <w:r w:rsidRPr="0052347A">
        <w:rPr>
          <w:b w:val="0"/>
          <w:sz w:val="22"/>
          <w:szCs w:val="22"/>
        </w:rPr>
        <w:t xml:space="preserve"> </w:t>
      </w:r>
      <w:r w:rsidRPr="0052347A">
        <w:rPr>
          <w:sz w:val="22"/>
          <w:szCs w:val="22"/>
        </w:rPr>
        <w:t>Grafika użytkowa</w:t>
      </w:r>
    </w:p>
    <w:p w:rsidR="00E65A45" w:rsidRPr="0052347A" w:rsidRDefault="00E65A45" w:rsidP="00E65A45">
      <w:pPr>
        <w:pStyle w:val="animation-ready"/>
        <w:rPr>
          <w:sz w:val="22"/>
          <w:szCs w:val="22"/>
        </w:rPr>
      </w:pPr>
      <w:r w:rsidRPr="0052347A">
        <w:rPr>
          <w:sz w:val="22"/>
          <w:szCs w:val="22"/>
        </w:rPr>
        <w:t>Grafika to dziedzina sztuki umożliwiająca powielanie dzieła artystycznego na płaszczyźnie w wielu egzemplarzach. Grafikę dzielimy na użytkową i artystyczną, zwaną też warsztatową.</w:t>
      </w:r>
    </w:p>
    <w:p w:rsidR="00E65A45" w:rsidRPr="0052347A" w:rsidRDefault="00E65A45" w:rsidP="00E65A45">
      <w:pPr>
        <w:pStyle w:val="animation-ready"/>
        <w:rPr>
          <w:sz w:val="22"/>
          <w:szCs w:val="22"/>
        </w:rPr>
      </w:pPr>
      <w:r w:rsidRPr="0052347A">
        <w:rPr>
          <w:rStyle w:val="Pogrubienie"/>
          <w:sz w:val="22"/>
          <w:szCs w:val="22"/>
        </w:rPr>
        <w:t>Grafika użytkowa</w:t>
      </w:r>
      <w:r w:rsidRPr="0052347A">
        <w:rPr>
          <w:sz w:val="22"/>
          <w:szCs w:val="22"/>
        </w:rPr>
        <w:t xml:space="preserve"> opiera się na praktycznym wykorzystaniu sztuki do realizacji określonych celów, związanych głównie z rynkiem wydawniczym i reklamą. Projektant grafiki przygotowuje wszelkie formy prezentacji i informacji wizualnej.</w:t>
      </w:r>
    </w:p>
    <w:p w:rsidR="00E65A45" w:rsidRPr="0052347A" w:rsidRDefault="00E65A45" w:rsidP="00E65A45">
      <w:pPr>
        <w:pStyle w:val="animation-ready"/>
        <w:rPr>
          <w:sz w:val="22"/>
          <w:szCs w:val="22"/>
        </w:rPr>
      </w:pPr>
      <w:r w:rsidRPr="0052347A">
        <w:rPr>
          <w:sz w:val="22"/>
          <w:szCs w:val="22"/>
        </w:rPr>
        <w:t xml:space="preserve">Jednym z obszarów grafiki użytkowej jest grafika wydawnicza, związana z różnego rodzaju wydawnictwami: książkami, czasopismami, </w:t>
      </w:r>
      <w:hyperlink r:id="rId6" w:anchor="DQVXky8wN_pl_main_concept_1" w:history="1">
        <w:r w:rsidRPr="0052347A">
          <w:rPr>
            <w:rStyle w:val="Hipercze"/>
            <w:color w:val="auto"/>
            <w:sz w:val="22"/>
            <w:szCs w:val="22"/>
          </w:rPr>
          <w:t>katalogami</w:t>
        </w:r>
      </w:hyperlink>
      <w:r w:rsidRPr="0052347A">
        <w:rPr>
          <w:sz w:val="22"/>
          <w:szCs w:val="22"/>
        </w:rPr>
        <w:t xml:space="preserve">, albumami, wydawnictwami o charakterze </w:t>
      </w:r>
      <w:hyperlink r:id="rId7" w:anchor="DQVXky8wN_pl_main_concept_2" w:history="1">
        <w:r w:rsidRPr="0052347A">
          <w:rPr>
            <w:rStyle w:val="Hipercze"/>
            <w:color w:val="auto"/>
            <w:sz w:val="22"/>
            <w:szCs w:val="22"/>
          </w:rPr>
          <w:t>akcydensowym</w:t>
        </w:r>
      </w:hyperlink>
      <w:r w:rsidRPr="0052347A">
        <w:rPr>
          <w:sz w:val="22"/>
          <w:szCs w:val="22"/>
        </w:rPr>
        <w:t>.</w:t>
      </w:r>
    </w:p>
    <w:p w:rsidR="00E65A45" w:rsidRDefault="00E65A45" w:rsidP="00E65A45">
      <w:pPr>
        <w:pStyle w:val="animation-ready"/>
      </w:pPr>
    </w:p>
    <w:p w:rsidR="00E65A45" w:rsidRPr="00E65A45" w:rsidRDefault="00E65A45" w:rsidP="00E65A45">
      <w:pPr>
        <w:pStyle w:val="Nagwek1"/>
      </w:pPr>
      <w:r>
        <w:rPr>
          <w:b w:val="0"/>
          <w:bCs w:val="0"/>
          <w:noProof/>
        </w:rPr>
        <w:drawing>
          <wp:inline distT="0" distB="0" distL="0" distR="0">
            <wp:extent cx="5760720" cy="379704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45" w:rsidRDefault="00193DFC">
      <w:pPr>
        <w:rPr>
          <w:i/>
        </w:rPr>
      </w:pPr>
      <w:r>
        <w:rPr>
          <w:i/>
        </w:rPr>
        <w:t>Ilustracje o</w:t>
      </w:r>
      <w:r w:rsidR="003C78CA" w:rsidRPr="003C78CA">
        <w:rPr>
          <w:i/>
        </w:rPr>
        <w:t>kładki połącz</w:t>
      </w:r>
      <w:r w:rsidR="007A1292">
        <w:rPr>
          <w:i/>
        </w:rPr>
        <w:t xml:space="preserve"> </w:t>
      </w:r>
      <w:r w:rsidR="003C78CA" w:rsidRPr="003C78CA">
        <w:rPr>
          <w:i/>
        </w:rPr>
        <w:t xml:space="preserve"> z odpowiednim opisem</w:t>
      </w:r>
      <w:r>
        <w:rPr>
          <w:i/>
        </w:rPr>
        <w:t>.</w:t>
      </w:r>
    </w:p>
    <w:p w:rsidR="0052347A" w:rsidRDefault="007A1292" w:rsidP="0052347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pl-PL"/>
        </w:rPr>
      </w:pPr>
      <w:r w:rsidRPr="007A1292">
        <w:rPr>
          <w:rFonts w:eastAsia="Times New Roman"/>
          <w:b/>
          <w:bCs/>
          <w:kern w:val="36"/>
          <w:lang w:eastAsia="pl-PL"/>
        </w:rPr>
        <w:t xml:space="preserve">słownik pojęć </w:t>
      </w:r>
      <w:r w:rsidR="0052347A">
        <w:rPr>
          <w:rFonts w:eastAsia="Times New Roman"/>
          <w:b/>
          <w:bCs/>
          <w:kern w:val="36"/>
          <w:lang w:eastAsia="pl-PL"/>
        </w:rPr>
        <w:t>:</w:t>
      </w:r>
    </w:p>
    <w:p w:rsidR="007A1292" w:rsidRPr="007A1292" w:rsidRDefault="007A1292" w:rsidP="0052347A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eastAsia="pl-PL"/>
        </w:rPr>
      </w:pPr>
      <w:r w:rsidRPr="007A1292">
        <w:rPr>
          <w:rFonts w:eastAsia="Times New Roman"/>
          <w:sz w:val="22"/>
          <w:szCs w:val="22"/>
          <w:u w:val="single"/>
          <w:lang w:eastAsia="pl-PL"/>
        </w:rPr>
        <w:t>Akcydensowy</w:t>
      </w:r>
      <w:r w:rsidR="0052347A" w:rsidRPr="0052347A">
        <w:rPr>
          <w:rFonts w:eastAsia="Times New Roman"/>
          <w:b/>
          <w:bCs/>
          <w:kern w:val="36"/>
          <w:u w:val="single"/>
          <w:lang w:eastAsia="pl-PL"/>
        </w:rPr>
        <w:t xml:space="preserve"> </w:t>
      </w:r>
      <w:r w:rsidR="0052347A">
        <w:rPr>
          <w:rFonts w:eastAsia="Times New Roman"/>
          <w:b/>
          <w:bCs/>
          <w:kern w:val="36"/>
          <w:lang w:eastAsia="pl-PL"/>
        </w:rPr>
        <w:t xml:space="preserve">  -  </w:t>
      </w:r>
      <w:r w:rsidRPr="007A1292">
        <w:rPr>
          <w:rFonts w:eastAsia="Times New Roman"/>
          <w:sz w:val="22"/>
          <w:szCs w:val="22"/>
          <w:lang w:eastAsia="pl-PL"/>
        </w:rPr>
        <w:t>związany z akcydensami, czyli drukiem akcydensowym – jednoarkuszowym wydrukiem o charakterze użytkowym lub okolicznościowym, do których zaliczyć można np. zaproszenia, ulotki, znaczki, wizytówki, etykiety, afisze itp.</w:t>
      </w:r>
    </w:p>
    <w:p w:rsidR="00EC1633" w:rsidRPr="00A042CC" w:rsidRDefault="007A1292" w:rsidP="00A042CC">
      <w:pPr>
        <w:rPr>
          <w:rFonts w:eastAsia="Times New Roman"/>
          <w:sz w:val="22"/>
          <w:szCs w:val="22"/>
          <w:lang w:eastAsia="pl-PL"/>
        </w:rPr>
      </w:pPr>
      <w:r w:rsidRPr="007A1292">
        <w:rPr>
          <w:rFonts w:eastAsia="Times New Roman"/>
          <w:sz w:val="22"/>
          <w:szCs w:val="22"/>
          <w:u w:val="single"/>
          <w:lang w:eastAsia="pl-PL"/>
        </w:rPr>
        <w:t>Jednoarkuszowy</w:t>
      </w:r>
      <w:r w:rsidR="0052347A" w:rsidRPr="0052347A">
        <w:rPr>
          <w:rFonts w:eastAsia="Times New Roman"/>
          <w:sz w:val="22"/>
          <w:szCs w:val="22"/>
          <w:u w:val="single"/>
          <w:lang w:eastAsia="pl-PL"/>
        </w:rPr>
        <w:t xml:space="preserve"> </w:t>
      </w:r>
      <w:r w:rsidR="0052347A">
        <w:rPr>
          <w:rFonts w:eastAsia="Times New Roman"/>
          <w:sz w:val="22"/>
          <w:szCs w:val="22"/>
          <w:lang w:eastAsia="pl-PL"/>
        </w:rPr>
        <w:t xml:space="preserve"> -  </w:t>
      </w:r>
      <w:r w:rsidRPr="007A1292">
        <w:rPr>
          <w:rFonts w:eastAsia="Times New Roman"/>
          <w:sz w:val="22"/>
          <w:szCs w:val="22"/>
          <w:lang w:eastAsia="pl-PL"/>
        </w:rPr>
        <w:t>składający się z jednego arkusza, czyli w przypadku akcydensów powstający z jednej kartki dowolnego rozmiar</w:t>
      </w:r>
    </w:p>
    <w:p w:rsidR="00EC1633" w:rsidRPr="003C78CA" w:rsidRDefault="00EC1633">
      <w:pPr>
        <w:rPr>
          <w:i/>
        </w:rPr>
      </w:pPr>
    </w:p>
    <w:sectPr w:rsidR="00EC1633" w:rsidRPr="003C78CA" w:rsidSect="00A128CE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9F" w:rsidRDefault="00A00E9F" w:rsidP="00E17065">
      <w:r>
        <w:separator/>
      </w:r>
    </w:p>
  </w:endnote>
  <w:endnote w:type="continuationSeparator" w:id="1">
    <w:p w:rsidR="00A00E9F" w:rsidRDefault="00A00E9F" w:rsidP="00E1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9F" w:rsidRDefault="00A00E9F" w:rsidP="00E17065">
      <w:r>
        <w:separator/>
      </w:r>
    </w:p>
  </w:footnote>
  <w:footnote w:type="continuationSeparator" w:id="1">
    <w:p w:rsidR="00A00E9F" w:rsidRDefault="00A00E9F" w:rsidP="00E1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1928"/>
      <w:docPartObj>
        <w:docPartGallery w:val="Page Numbers (Top of Page)"/>
        <w:docPartUnique/>
      </w:docPartObj>
    </w:sdtPr>
    <w:sdtContent>
      <w:p w:rsidR="00E17065" w:rsidRDefault="00660AC2">
        <w:pPr>
          <w:pStyle w:val="Nagwek"/>
          <w:jc w:val="center"/>
        </w:pPr>
        <w:fldSimple w:instr=" PAGE   \* MERGEFORMAT ">
          <w:r w:rsidR="000D0925">
            <w:rPr>
              <w:noProof/>
            </w:rPr>
            <w:t>1</w:t>
          </w:r>
        </w:fldSimple>
      </w:p>
    </w:sdtContent>
  </w:sdt>
  <w:p w:rsidR="00E17065" w:rsidRDefault="00E170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A45"/>
    <w:rsid w:val="000269CF"/>
    <w:rsid w:val="000341A4"/>
    <w:rsid w:val="000D0925"/>
    <w:rsid w:val="00193DFC"/>
    <w:rsid w:val="002117F6"/>
    <w:rsid w:val="002A31EA"/>
    <w:rsid w:val="002C1F43"/>
    <w:rsid w:val="002E240F"/>
    <w:rsid w:val="003C78CA"/>
    <w:rsid w:val="00516012"/>
    <w:rsid w:val="0052347A"/>
    <w:rsid w:val="00584C66"/>
    <w:rsid w:val="00660AC2"/>
    <w:rsid w:val="006F2E56"/>
    <w:rsid w:val="007A0010"/>
    <w:rsid w:val="007A1292"/>
    <w:rsid w:val="007D2904"/>
    <w:rsid w:val="009001FD"/>
    <w:rsid w:val="0092313E"/>
    <w:rsid w:val="00A00E9F"/>
    <w:rsid w:val="00A042CC"/>
    <w:rsid w:val="00A128CE"/>
    <w:rsid w:val="00A24ABE"/>
    <w:rsid w:val="00C13A86"/>
    <w:rsid w:val="00CE5EDD"/>
    <w:rsid w:val="00D00F1C"/>
    <w:rsid w:val="00DE0EDC"/>
    <w:rsid w:val="00E17065"/>
    <w:rsid w:val="00E65A45"/>
    <w:rsid w:val="00EC1633"/>
    <w:rsid w:val="00ED2CC4"/>
    <w:rsid w:val="00F1487B"/>
    <w:rsid w:val="00F9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4"/>
  </w:style>
  <w:style w:type="paragraph" w:styleId="Nagwek1">
    <w:name w:val="heading 1"/>
    <w:basedOn w:val="Normalny"/>
    <w:link w:val="Nagwek1Znak"/>
    <w:uiPriority w:val="9"/>
    <w:qFormat/>
    <w:rsid w:val="00E65A4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A45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E65A45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65A45"/>
    <w:rPr>
      <w:i/>
      <w:iCs/>
    </w:rPr>
  </w:style>
  <w:style w:type="character" w:styleId="Pogrubienie">
    <w:name w:val="Strong"/>
    <w:basedOn w:val="Domylnaczcionkaakapitu"/>
    <w:uiPriority w:val="22"/>
    <w:qFormat/>
    <w:rsid w:val="00E65A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5A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4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A129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65"/>
  </w:style>
  <w:style w:type="paragraph" w:styleId="Stopka">
    <w:name w:val="footer"/>
    <w:basedOn w:val="Normalny"/>
    <w:link w:val="StopkaZnak"/>
    <w:uiPriority w:val="99"/>
    <w:semiHidden/>
    <w:unhideWhenUsed/>
    <w:rsid w:val="00E17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-pracowni-projektowania-graficznego/DQVXky8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-pracowni-projektowania-graficznego/DQVXky8w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2020-04-20T08:20:00Z</dcterms:created>
  <dcterms:modified xsi:type="dcterms:W3CDTF">2020-04-20T08:21:00Z</dcterms:modified>
</cp:coreProperties>
</file>